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outlineLvl w:val="0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救助申请家庭经济状况信息表（申请人填写）</w:t>
      </w:r>
    </w:p>
    <w:bookmarkEnd w:id="0"/>
    <w:tbl>
      <w:tblPr>
        <w:tblStyle w:val="6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386"/>
        <w:gridCol w:w="1289"/>
        <w:gridCol w:w="623"/>
        <w:gridCol w:w="352"/>
        <w:gridCol w:w="837"/>
        <w:gridCol w:w="313"/>
        <w:gridCol w:w="1712"/>
        <w:gridCol w:w="1396"/>
        <w:gridCol w:w="667"/>
        <w:gridCol w:w="622"/>
        <w:gridCol w:w="878"/>
        <w:gridCol w:w="411"/>
        <w:gridCol w:w="976"/>
        <w:gridCol w:w="313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4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共同生活家庭成员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        人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家庭月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（年收入）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元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家庭主要支出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65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家庭成员近亲属中有无最低生活保障经办人员或村干部</w:t>
            </w:r>
          </w:p>
        </w:tc>
        <w:tc>
          <w:tcPr>
            <w:tcW w:w="25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1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家庭财产状况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银行存款</w:t>
            </w:r>
          </w:p>
        </w:tc>
        <w:tc>
          <w:tcPr>
            <w:tcW w:w="34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元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有价证券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元</w:t>
            </w:r>
          </w:p>
        </w:tc>
        <w:tc>
          <w:tcPr>
            <w:tcW w:w="25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债权</w:t>
            </w:r>
          </w:p>
        </w:tc>
        <w:tc>
          <w:tcPr>
            <w:tcW w:w="25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房产</w:t>
            </w:r>
          </w:p>
        </w:tc>
        <w:tc>
          <w:tcPr>
            <w:tcW w:w="34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房屋地址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建筑面积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房屋性质</w:t>
            </w:r>
          </w:p>
        </w:tc>
        <w:tc>
          <w:tcPr>
            <w:tcW w:w="25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房屋来源</w:t>
            </w:r>
          </w:p>
        </w:tc>
        <w:tc>
          <w:tcPr>
            <w:tcW w:w="25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购（建）房时间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机动车（船）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车（船）主姓名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车（船）型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车（船）牌号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排气量</w:t>
            </w:r>
          </w:p>
        </w:tc>
        <w:tc>
          <w:tcPr>
            <w:tcW w:w="25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购买时间</w:t>
            </w:r>
          </w:p>
        </w:tc>
        <w:tc>
          <w:tcPr>
            <w:tcW w:w="25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购买金额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其他财产</w:t>
            </w:r>
          </w:p>
        </w:tc>
        <w:tc>
          <w:tcPr>
            <w:tcW w:w="1167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共同生活的家庭成员情况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与申请人关系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健康状况（残疾类别、等级）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职业状况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月/年收入</w:t>
            </w:r>
          </w:p>
        </w:tc>
        <w:tc>
          <w:tcPr>
            <w:tcW w:w="25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赡（抚、扶）养人信息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与申请人关系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健康状况（残疾类别、等级）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职业状况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月/年收入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年赡（抚、扶）养费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exac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62" w:firstLineChars="200"/>
        <w:textAlignment w:val="auto"/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sectPr>
          <w:pgSz w:w="16838" w:h="11906" w:orient="landscape"/>
          <w:pgMar w:top="2041" w:right="1531" w:bottom="2041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442" w:charSpace="0"/>
        </w:sectPr>
      </w:pPr>
      <w:r>
        <w:rPr>
          <w:rFonts w:hint="eastAsia" w:ascii="仿宋_GB2312" w:hAnsi="仿宋_GB2312" w:eastAsia="仿宋_GB2312" w:cs="仿宋_GB2312"/>
          <w:b/>
          <w:bCs/>
          <w:w w:val="100"/>
          <w:sz w:val="28"/>
          <w:szCs w:val="28"/>
          <w:lang w:val="en-US" w:eastAsia="zh-CN"/>
        </w:rPr>
        <w:t>填报说明：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（1）房屋性质：自有私房、租用公房、租用私房、临时搭建房、借住房等。（2）近亲属的范围按《曲沃县社会救助经办人员和村（居）民委员会工作人员及其近亲属享受社会救助备案工作办法（试行）》（临市民发〔2014〕26号）第二条执行。（3）有价证券：包括股票、债券及基金证券、可转换证券等衍生品种。（4）房屋来源：自购房、自建房、回迁房、承租公房（本家庭无产权房及承租公房的不填此项）。（5）建筑面积：按房屋产权证填报。（6）其他财产：根据实际情况填写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B1761"/>
    <w:rsid w:val="BFFB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adjustRightInd w:val="0"/>
      <w:snapToGrid w:val="0"/>
      <w:spacing w:after="200" w:afterLines="0"/>
      <w:ind w:left="420" w:leftChars="200" w:firstLine="420" w:firstLineChars="200"/>
    </w:pPr>
    <w:rPr>
      <w:rFonts w:ascii="Calibri" w:hAnsi="Calibri" w:eastAsia="宋体" w:cs="Times New Roman"/>
      <w:kern w:val="0"/>
      <w:sz w:val="22"/>
      <w:szCs w:val="22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2023-05-16T17:05:00Z</dcterms:created>
  <dc:creator>baixin</dc:creator>
  <cp:lastModifiedBy>baixin</cp:lastModifiedBy>
  <dcterms:modified xsi:type="dcterms:W3CDTF">2023-05-16T17:05:47Z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