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仿宋_GB2312" w:hAnsi="Times New Roman" w:eastAsia="仿宋_GB2312" w:cs="Times New Roman"/>
          <w:color w:val="auto"/>
          <w:sz w:val="30"/>
          <w:szCs w:val="30"/>
        </w:rPr>
      </w:pPr>
      <w:r>
        <w:rPr>
          <w:rFonts w:hint="eastAsia" w:ascii="仿宋_GB2312" w:hAnsi="Times New Roman" w:eastAsia="仿宋_GB2312" w:cs="Times New Roman"/>
          <w:color w:val="auto"/>
          <w:sz w:val="30"/>
          <w:szCs w:val="30"/>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44"/>
          <w:szCs w:val="44"/>
        </w:rPr>
      </w:pPr>
      <w:bookmarkStart w:id="0" w:name="_GoBack"/>
      <w:r>
        <w:rPr>
          <w:rFonts w:hint="eastAsia" w:ascii="黑体" w:hAnsi="黑体" w:eastAsia="黑体" w:cs="黑体"/>
          <w:b w:val="0"/>
          <w:bCs w:val="0"/>
          <w:color w:val="auto"/>
          <w:spacing w:val="-4"/>
          <w:kern w:val="2"/>
          <w:sz w:val="44"/>
          <w:szCs w:val="44"/>
          <w:lang w:val="en-US" w:eastAsia="zh-CN" w:bidi="ar-SA"/>
        </w:rPr>
        <w:t>2021—2023年全县农机购置补贴操作程序</w:t>
      </w:r>
    </w:p>
    <w:bookmarkEnd w:id="0"/>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农机购置补贴政策继续按照“自主购机、定额补贴、先购后补、县级结算、直补到卡（户）”的方式实施。</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一、发布实施规定</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农业农村（农机）部门、财政部门按职责分工和有关规定发布农机购置补贴工作方案、操作程序、补贴机具信息表、咨询投诉举报电话等信息。</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二、自主购机</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购机者自主选择购买机具，按市场化原则自行与农机产销企业协商确定购机价格与支付方式，并对交易行为真实性、有效性和可能发生的纠纷承担法律责任，农机产销企业开具标明购机者和机具信息的销售发票，其真实性、完整性和有效性由购机者和补贴机具产销企业负责，并承担相关责任。推行非现金方式支付购机款，便于对购置行为及资金往来全程留痕，有效遏制不规范经营行为的发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三、申请补贴</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购机行为完成后，购机者自主向当地农业农村（农机）部门或使用手机APP（可登录山西农机化信息网相关网页通过扫描二维码的方式下载安装“农机购置补贴”APP）提出补贴资金申领事项，签署告知承诺书，承诺购买行为、发票、购机价格等信息真实有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四、受理补贴申请</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农业农村（农机）部门全面实行办理服务系统常年连续开放，逐步推广使用带有人脸识别功能的手机APP等信息化技术，方便购机者随时在线提交补贴申请。为购机者提供机具核验、补贴申请受理、牌证管理等一站式服务，加快实现购机者线下申领补贴“最多跑一次”“最多跑一地”。农机购置补贴资金申请数量达到当年可用资金（含结转资金和调剂资金）总量110%时，及时在信息公开专栏发布公告，停止受理补贴申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五、审验信息</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仿宋_GB2312" w:hAnsi="Times New Roman" w:eastAsia="仿宋_GB2312" w:cs="Times New Roman"/>
          <w:bCs/>
          <w:color w:val="auto"/>
          <w:sz w:val="32"/>
          <w:szCs w:val="32"/>
          <w:lang w:val="en-US" w:eastAsia="zh-CN"/>
        </w:rPr>
        <w:t>农业农村（农机）部门按照《曲沃县农机购置补贴产品核验工作规程（试行）》(见附件2)， 对申请补贴相关资料进行形式审核，对补贴机具进行核验，其中牌证管理机具凭牌证免于现场实物核验。农业农村（农机）部门在收到购机者补贴申请后，将在2个工作日内做出是否受理的决定，对因资料不齐全等原因无法受理的，注明原因，并按原渠道退回申请；对符合条件可以受理的，在13个工作日内（不含公示时间）完成相关核验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六、补贴公示</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对核验通过的补贴申请信息在农机购置补贴信息公开专栏进行为期5个工作日的公示，公示无异议后，汇总形成农机购置补贴资金发放明细表（见附表）等有关材料，报送县级财政部门。</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 w:hAnsi="仿宋" w:eastAsia="仿宋" w:cs="仿宋"/>
          <w:color w:val="000000"/>
          <w:sz w:val="32"/>
          <w:szCs w:val="20"/>
          <w:lang w:val="en-US" w:eastAsia="zh-CN"/>
        </w:rPr>
      </w:pPr>
      <w:r>
        <w:rPr>
          <w:rFonts w:hint="eastAsia" w:ascii="仿宋_GB2312" w:hAnsi="Times New Roman" w:eastAsia="仿宋_GB2312" w:cs="Times New Roman"/>
          <w:bCs/>
          <w:color w:val="auto"/>
          <w:sz w:val="32"/>
          <w:szCs w:val="32"/>
          <w:lang w:val="en-US" w:eastAsia="zh-CN"/>
        </w:rPr>
        <w:t>核验、公示报送材料时间不超过20个工作日。在乡村或补贴申请点公示栏中同时公开公示信息。</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七、兑付补贴资金</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财政部门审核农业农村（农机）部门提交的资金兑付申请与有关材料，对符合补贴要求的兑付申请，按照先操作办理服务系统后通过国库集中支付的程序，于15个工作日内向符合要求的购机者兑付资金。严禁挤占挪用农机购置补贴资金。因资金不足或加强监管等原因需要延期兑付的，应告知购机者，并及时与同级农业农村部门联合向上一级财政部门和农业农村部门报告资金供需情况。补贴申领原则上当年有效，因当年财政补贴资金规模不够、办理手续时间紧张等无法享受补贴的，可在下一个年度优先兑付。因违规、退货等原因退回的补贴资金由县级财政部门纳入补贴资金计划，继续使用。退货档案材料由经销企业交县级农业农村（农机）部门保存。</w:t>
      </w:r>
    </w:p>
    <w:p>
      <w:pPr>
        <w:keepNext w:val="0"/>
        <w:keepLines w:val="0"/>
        <w:pageBreakBefore w:val="0"/>
        <w:widowControl/>
        <w:shd w:val="clear" w:color="auto" w:fill="FFFFFF"/>
        <w:kinsoku/>
        <w:wordWrap/>
        <w:overflowPunct/>
        <w:topLinePunct w:val="0"/>
        <w:autoSpaceDE/>
        <w:autoSpaceDN/>
        <w:bidi w:val="0"/>
        <w:adjustRightIn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Times New Roman" w:eastAsia="仿宋_GB2312" w:cs="Times New Roman"/>
          <w:bCs/>
          <w:color w:val="auto"/>
          <w:sz w:val="32"/>
          <w:szCs w:val="32"/>
          <w:lang w:val="en-US" w:eastAsia="zh-CN"/>
        </w:rPr>
      </w:pPr>
      <w:r>
        <w:rPr>
          <w:rFonts w:hint="eastAsia" w:ascii="仿宋_GB2312" w:hAnsi="Times New Roman" w:eastAsia="仿宋_GB2312" w:cs="Times New Roman"/>
          <w:bCs/>
          <w:color w:val="auto"/>
          <w:sz w:val="32"/>
          <w:szCs w:val="32"/>
          <w:lang w:val="en-US" w:eastAsia="zh-CN"/>
        </w:rPr>
        <w:t>附表：农机购置补贴发放明细表</w:t>
      </w:r>
    </w:p>
    <w:p>
      <w:pPr>
        <w:pStyle w:val="2"/>
        <w:rPr>
          <w:rFonts w:hint="eastAsia" w:ascii="仿宋_GB2312" w:hAnsi="Times New Roman" w:eastAsia="仿宋_GB2312" w:cs="Times New Roman"/>
          <w:bCs/>
          <w:color w:val="auto"/>
          <w:sz w:val="32"/>
          <w:szCs w:val="32"/>
          <w:lang w:val="en-US" w:eastAsia="zh-CN"/>
        </w:rPr>
      </w:pPr>
    </w:p>
    <w:p>
      <w:pPr>
        <w:spacing w:line="590" w:lineRule="exact"/>
        <w:rPr>
          <w:rFonts w:ascii="方正小标宋简体" w:hAnsi="仿宋" w:eastAsia="方正小标宋简体" w:cs="宋体"/>
          <w:bCs/>
          <w:color w:val="000000"/>
          <w:kern w:val="0"/>
          <w:sz w:val="32"/>
          <w:szCs w:val="27"/>
        </w:rPr>
      </w:pPr>
      <w:r>
        <w:rPr>
          <w:rFonts w:hint="eastAsia" w:ascii="黑体" w:hAnsi="黑体" w:eastAsia="黑体" w:cs="黑体"/>
          <w:bCs/>
          <w:color w:val="000000"/>
          <w:kern w:val="0"/>
          <w:sz w:val="32"/>
          <w:szCs w:val="27"/>
        </w:rPr>
        <w:t>附表</w:t>
      </w:r>
    </w:p>
    <w:p>
      <w:pPr>
        <w:spacing w:line="59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农机购置补贴发放明细表</w:t>
      </w:r>
    </w:p>
    <w:p>
      <w:pPr>
        <w:spacing w:line="590" w:lineRule="exact"/>
        <w:ind w:firstLine="300" w:firstLineChars="1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填报单位(盖章)：                                         填报时间：      年     月    日</w:t>
      </w:r>
    </w:p>
    <w:tbl>
      <w:tblPr>
        <w:tblStyle w:val="5"/>
        <w:tblW w:w="133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2"/>
        <w:gridCol w:w="2053"/>
        <w:gridCol w:w="1401"/>
        <w:gridCol w:w="2013"/>
        <w:gridCol w:w="2347"/>
        <w:gridCol w:w="2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8" w:hRule="atLeast"/>
          <w:jc w:val="center"/>
        </w:trPr>
        <w:tc>
          <w:tcPr>
            <w:tcW w:w="2772"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申请表编号</w:t>
            </w:r>
          </w:p>
        </w:tc>
        <w:tc>
          <w:tcPr>
            <w:tcW w:w="2053"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购机者姓名</w:t>
            </w:r>
          </w:p>
        </w:tc>
        <w:tc>
          <w:tcPr>
            <w:tcW w:w="1401"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机具</w:t>
            </w:r>
          </w:p>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名称</w:t>
            </w:r>
          </w:p>
        </w:tc>
        <w:tc>
          <w:tcPr>
            <w:tcW w:w="2013"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机具型号</w:t>
            </w:r>
          </w:p>
        </w:tc>
        <w:tc>
          <w:tcPr>
            <w:tcW w:w="2347"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补贴金额（元）</w:t>
            </w:r>
          </w:p>
        </w:tc>
        <w:tc>
          <w:tcPr>
            <w:tcW w:w="2772" w:type="dxa"/>
            <w:noWrap w:val="0"/>
            <w:vAlign w:val="center"/>
          </w:tcPr>
          <w:p>
            <w:pPr>
              <w:spacing w:line="59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银行卡号/银行账户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2772" w:type="dxa"/>
            <w:noWrap w:val="0"/>
            <w:vAlign w:val="center"/>
          </w:tcPr>
          <w:p>
            <w:pPr>
              <w:spacing w:line="590" w:lineRule="exact"/>
              <w:rPr>
                <w:rFonts w:ascii="仿宋_GB2312" w:hAnsi="仿宋_GB2312" w:eastAsia="仿宋_GB2312" w:cs="仿宋_GB2312"/>
                <w:b/>
                <w:bCs/>
                <w:color w:val="000000"/>
                <w:sz w:val="30"/>
                <w:szCs w:val="30"/>
              </w:rPr>
            </w:pP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2772" w:type="dxa"/>
            <w:noWrap w:val="0"/>
            <w:vAlign w:val="center"/>
          </w:tcPr>
          <w:p>
            <w:pPr>
              <w:spacing w:line="590" w:lineRule="exact"/>
              <w:rPr>
                <w:rFonts w:ascii="仿宋_GB2312" w:hAnsi="仿宋_GB2312" w:eastAsia="仿宋_GB2312" w:cs="仿宋_GB2312"/>
                <w:b/>
                <w:bCs/>
                <w:color w:val="000000"/>
                <w:sz w:val="30"/>
                <w:szCs w:val="30"/>
              </w:rPr>
            </w:pP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2772" w:type="dxa"/>
            <w:noWrap w:val="0"/>
            <w:vAlign w:val="center"/>
          </w:tcPr>
          <w:p>
            <w:pPr>
              <w:spacing w:line="590" w:lineRule="exact"/>
              <w:rPr>
                <w:rFonts w:ascii="仿宋_GB2312" w:hAnsi="仿宋_GB2312" w:eastAsia="仿宋_GB2312" w:cs="仿宋_GB2312"/>
                <w:b/>
                <w:bCs/>
                <w:color w:val="000000"/>
                <w:sz w:val="30"/>
                <w:szCs w:val="30"/>
              </w:rPr>
            </w:pP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2772" w:type="dxa"/>
            <w:noWrap w:val="0"/>
            <w:vAlign w:val="center"/>
          </w:tcPr>
          <w:p>
            <w:pPr>
              <w:spacing w:line="590" w:lineRule="exact"/>
              <w:rPr>
                <w:rFonts w:ascii="仿宋_GB2312" w:hAnsi="仿宋_GB2312" w:eastAsia="仿宋_GB2312" w:cs="仿宋_GB2312"/>
                <w:b/>
                <w:bCs/>
                <w:color w:val="000000"/>
                <w:sz w:val="30"/>
                <w:szCs w:val="30"/>
              </w:rPr>
            </w:pP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7" w:hRule="exact"/>
          <w:jc w:val="center"/>
        </w:trPr>
        <w:tc>
          <w:tcPr>
            <w:tcW w:w="2772" w:type="dxa"/>
            <w:noWrap w:val="0"/>
            <w:vAlign w:val="center"/>
          </w:tcPr>
          <w:p>
            <w:pPr>
              <w:spacing w:line="590" w:lineRule="exact"/>
              <w:rPr>
                <w:rFonts w:ascii="仿宋_GB2312" w:hAnsi="仿宋_GB2312" w:eastAsia="仿宋_GB2312" w:cs="仿宋_GB2312"/>
                <w:b/>
                <w:bCs/>
                <w:color w:val="000000"/>
                <w:sz w:val="30"/>
                <w:szCs w:val="30"/>
              </w:rPr>
            </w:pP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exact"/>
          <w:jc w:val="center"/>
        </w:trPr>
        <w:tc>
          <w:tcPr>
            <w:tcW w:w="2772" w:type="dxa"/>
            <w:noWrap w:val="0"/>
            <w:vAlign w:val="center"/>
          </w:tcPr>
          <w:p>
            <w:pPr>
              <w:spacing w:line="590" w:lineRule="exact"/>
              <w:ind w:firstLine="150" w:firstLineChars="50"/>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color w:val="000000"/>
                <w:sz w:val="30"/>
                <w:szCs w:val="30"/>
              </w:rPr>
              <w:t>合  计</w:t>
            </w:r>
          </w:p>
        </w:tc>
        <w:tc>
          <w:tcPr>
            <w:tcW w:w="2053" w:type="dxa"/>
            <w:noWrap w:val="0"/>
            <w:vAlign w:val="center"/>
          </w:tcPr>
          <w:p>
            <w:pPr>
              <w:spacing w:line="590" w:lineRule="exact"/>
              <w:rPr>
                <w:rFonts w:ascii="仿宋_GB2312" w:hAnsi="仿宋_GB2312" w:eastAsia="仿宋_GB2312" w:cs="仿宋_GB2312"/>
                <w:b/>
                <w:bCs/>
                <w:color w:val="000000"/>
                <w:sz w:val="30"/>
                <w:szCs w:val="30"/>
              </w:rPr>
            </w:pPr>
          </w:p>
        </w:tc>
        <w:tc>
          <w:tcPr>
            <w:tcW w:w="1401" w:type="dxa"/>
            <w:noWrap w:val="0"/>
            <w:vAlign w:val="center"/>
          </w:tcPr>
          <w:p>
            <w:pPr>
              <w:spacing w:line="590" w:lineRule="exact"/>
              <w:rPr>
                <w:rFonts w:ascii="仿宋_GB2312" w:hAnsi="仿宋_GB2312" w:eastAsia="仿宋_GB2312" w:cs="仿宋_GB2312"/>
                <w:b/>
                <w:bCs/>
                <w:color w:val="000000"/>
                <w:sz w:val="30"/>
                <w:szCs w:val="30"/>
              </w:rPr>
            </w:pPr>
          </w:p>
        </w:tc>
        <w:tc>
          <w:tcPr>
            <w:tcW w:w="2013" w:type="dxa"/>
            <w:tcBorders>
              <w:righ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347" w:type="dxa"/>
            <w:tcBorders>
              <w:left w:val="single" w:color="auto" w:sz="4" w:space="0"/>
            </w:tcBorders>
            <w:noWrap w:val="0"/>
            <w:vAlign w:val="center"/>
          </w:tcPr>
          <w:p>
            <w:pPr>
              <w:spacing w:line="590" w:lineRule="exact"/>
              <w:rPr>
                <w:rFonts w:ascii="仿宋_GB2312" w:hAnsi="仿宋_GB2312" w:eastAsia="仿宋_GB2312" w:cs="仿宋_GB2312"/>
                <w:b/>
                <w:bCs/>
                <w:color w:val="000000"/>
                <w:sz w:val="30"/>
                <w:szCs w:val="30"/>
              </w:rPr>
            </w:pPr>
          </w:p>
        </w:tc>
        <w:tc>
          <w:tcPr>
            <w:tcW w:w="2772" w:type="dxa"/>
            <w:noWrap w:val="0"/>
            <w:vAlign w:val="center"/>
          </w:tcPr>
          <w:p>
            <w:pPr>
              <w:spacing w:line="590" w:lineRule="exact"/>
              <w:rPr>
                <w:rFonts w:ascii="仿宋_GB2312" w:hAnsi="仿宋_GB2312" w:eastAsia="仿宋_GB2312" w:cs="仿宋_GB2312"/>
                <w:b/>
                <w:bCs/>
                <w:color w:val="000000"/>
                <w:sz w:val="30"/>
                <w:szCs w:val="30"/>
              </w:rPr>
            </w:pPr>
          </w:p>
        </w:tc>
      </w:tr>
    </w:tbl>
    <w:p>
      <w:pPr>
        <w:spacing w:line="590" w:lineRule="exac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分管领导（签字）：              审核人（签字）：              经办人（签字）：</w:t>
      </w:r>
    </w:p>
    <w:p>
      <w:pPr>
        <w:spacing w:line="590" w:lineRule="exact"/>
        <w:rPr>
          <w:rFonts w:hint="eastAsia" w:ascii="仿宋_GB2312" w:hAnsi="仿宋_GB2312" w:eastAsia="仿宋_GB2312" w:cs="仿宋_GB2312"/>
          <w:color w:val="000000"/>
          <w:sz w:val="30"/>
          <w:szCs w:val="30"/>
        </w:rPr>
        <w:sectPr>
          <w:footerReference r:id="rId3" w:type="default"/>
          <w:pgSz w:w="16838" w:h="11906" w:orient="landscape"/>
          <w:pgMar w:top="1531" w:right="1814" w:bottom="1531" w:left="1758" w:header="851" w:footer="1701" w:gutter="0"/>
          <w:pgNumType w:fmt="numberInDash"/>
          <w:cols w:space="720" w:num="1"/>
          <w:docGrid w:type="lines" w:linePitch="322" w:charSpace="0"/>
        </w:sectPr>
      </w:pPr>
    </w:p>
    <w:p>
      <w:pPr>
        <w:pStyle w:val="3"/>
        <w:rPr>
          <w:rFonts w:hint="eastAsia"/>
          <w:lang w:val="en-US" w:eastAsia="zh-CN"/>
        </w:rPr>
        <w:sectPr>
          <w:footerReference r:id="rId4" w:type="default"/>
          <w:footerReference r:id="rId5" w:type="even"/>
          <w:pgSz w:w="11906" w:h="16838"/>
          <w:pgMar w:top="1440" w:right="1474" w:bottom="1984" w:left="1587" w:header="851" w:footer="1701" w:gutter="0"/>
          <w:pgNumType w:fmt="numberInDash" w:start="3"/>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小标宋_GBK"/>
    <w:panose1 w:val="03000509000000000000"/>
    <w:charset w:val="00"/>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left="210" w:leftChars="100" w:right="210" w:rightChars="10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path/>
              <v:fill on="f" focussize="0,0"/>
              <v:stroke on="f" weight="0.5pt"/>
              <v:imagedata o:title=""/>
              <o:lock v:ext="edit" aspectratio="f"/>
              <v:textbox inset="0mm,0mm,0mm,0mm" style="mso-fit-shape-to-text:t;">
                <w:txbxContent>
                  <w:p>
                    <w:pPr>
                      <w:pStyle w:val="4"/>
                      <w:ind w:left="210" w:leftChars="100" w:right="210" w:rightChars="10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left="210" w:leftChars="100" w:right="210" w:rightChars="10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v:imagedata o:title=""/>
              <o:lock v:ext="edit" aspectratio="f"/>
              <v:textbox inset="0mm,0mm,0mm,0mm" style="mso-fit-shape-to-text:t;">
                <w:txbxContent>
                  <w:p>
                    <w:pPr>
                      <w:pStyle w:val="4"/>
                      <w:ind w:left="210" w:leftChars="100" w:right="210" w:rightChars="10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FCE94"/>
    <w:rsid w:val="F7DFC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next w:val="3"/>
    <w:qFormat/>
    <w:uiPriority w:val="0"/>
    <w:pPr>
      <w:widowControl w:val="0"/>
      <w:ind w:left="200" w:leftChars="200"/>
      <w:jc w:val="both"/>
    </w:pPr>
    <w:rPr>
      <w:rFonts w:ascii="Calibri" w:hAnsi="Calibri" w:eastAsia="仿宋_GB2312" w:cs="Times New Roman"/>
      <w:kern w:val="2"/>
      <w:sz w:val="32"/>
      <w:szCs w:val="32"/>
      <w:lang w:val="en-US" w:eastAsia="zh-CN" w:bidi="ar-SA"/>
    </w:rPr>
  </w:style>
  <w:style w:type="paragraph" w:styleId="3">
    <w:name w:val="Normal (Web)"/>
    <w:next w:val="1"/>
    <w:unhideWhenUsed/>
    <w:qFormat/>
    <w:uiPriority w:val="99"/>
    <w:pPr>
      <w:widowControl w:val="0"/>
      <w:jc w:val="both"/>
    </w:pPr>
    <w:rPr>
      <w:rFonts w:ascii="Times New Roman" w:hAnsi="Times New Roman" w:eastAsia="宋体" w:cs="Times New Roman"/>
      <w:kern w:val="2"/>
      <w:sz w:val="24"/>
      <w:szCs w:val="22"/>
      <w:lang w:val="en-US" w:eastAsia="zh-CN" w:bidi="ar-SA"/>
    </w:rPr>
  </w:style>
  <w:style w:type="paragraph" w:styleId="4">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2023-11-17T11:04:00Z</dcterms:created>
  <dc:creator>baixin</dc:creator>
  <cp:lastModifiedBy>baixin</cp:lastModifiedBy>
  <dcterms:modified xsi:type="dcterms:W3CDTF">2023-11-17T11:05:15Z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