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300" w:firstLineChars="200"/>
        <w:jc w:val="center"/>
        <w:rPr>
          <w:rFonts w:hint="eastAsia" w:ascii="仿宋_GB2312" w:hAnsi="仿宋" w:eastAsia="仿宋_GB2312"/>
          <w:color w:val="000000"/>
          <w:sz w:val="15"/>
          <w:szCs w:val="15"/>
        </w:rPr>
      </w:pPr>
    </w:p>
    <w:p>
      <w:pPr>
        <w:pStyle w:val="2"/>
        <w:rPr>
          <w:rFonts w:hint="eastAsia" w:ascii="仿宋_GB2312" w:hAnsi="仿宋" w:eastAsia="仿宋_GB2312"/>
          <w:color w:val="000000"/>
          <w:sz w:val="15"/>
          <w:szCs w:val="15"/>
        </w:rPr>
      </w:pPr>
    </w:p>
    <w:p>
      <w:pPr>
        <w:rPr>
          <w:rFonts w:hint="eastAsia"/>
        </w:rPr>
      </w:pPr>
    </w:p>
    <w:p>
      <w:pPr>
        <w:spacing w:line="600" w:lineRule="exact"/>
        <w:ind w:firstLine="600" w:firstLineChars="200"/>
        <w:jc w:val="center"/>
        <w:rPr>
          <w:rFonts w:hint="eastAsia"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曲统字</w:t>
      </w:r>
      <w:r>
        <w:rPr>
          <w:rFonts w:hint="eastAsia" w:ascii="仿宋_GB2312" w:hAnsi="仿宋" w:eastAsia="仿宋"/>
          <w:color w:val="000000"/>
          <w:sz w:val="30"/>
          <w:szCs w:val="30"/>
        </w:rPr>
        <w:t>﹝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202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"/>
          <w:color w:val="000000"/>
          <w:sz w:val="30"/>
          <w:szCs w:val="30"/>
        </w:rPr>
        <w:t>﹞</w:t>
      </w:r>
      <w:r>
        <w:rPr>
          <w:rFonts w:hint="eastAsia" w:ascii="仿宋_GB2312" w:hAnsi="仿宋" w:eastAsia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号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shd w:val="clear" w:color="auto" w:fill="FFFFFF"/>
        </w:rPr>
        <w:t>曲沃县统计局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shd w:val="clear" w:color="auto" w:fill="FFFFFF"/>
        </w:rPr>
        <w:t>年法治政府建设工作报告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年，曲沃县统计局在县委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县政府的坚强领导下，在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县委依法治县办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的大力支持与帮助下，坚持以习近平新时代中国特色社会主义思想为指引，全面贯彻落实中央、省、市、县经济工作会议精神，狠抓统计法律法规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培训学习，着力开展依法治统和“双随机”检查，为高质量完成全年工作任务打下坚实的基础，现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将全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年法治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政府建设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，简要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总结如下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一、深入学习贯彻习近平法治思想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通过局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支部主题党日、党组理论学习中心组、全局干部职工大会、统计业务培训会等平台，组织开展以《宪法》《统计法》《统计法实施条例》《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贯彻落实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防治统计造假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有关会议精神工作措施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》为核心的统计法律法规教育活动，使得全体干部职工“四个意识”更加牢固，“四个自信”更加坚定，“两个维护”更加坚决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12.4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宪法宣传日暨“平安建设宣传周”集中宣传活动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和12.8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统计法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颁布纪念日为契机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统计法律法规宣传活动，并紧密结合中央《意见》、《办法》和《规定》对统计法律法规再学习再宣传再落实，掀起对《统计法》《统计法实施条例》等统计法律法规的学习新高潮。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12月6日，邀请市统计局法治专业人员王莉婷来我县开展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“统计法进党校”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，为学员讲解统计法律法规。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二、统计专项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治理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工作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稳步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3月27日，县统计局组织召开全县统计造假屡禁难绝专项治理行动安排部署会，第一时间传达学习了《临汾市统计局统计造假屡禁难绝专项治理工作实施方案》（临统字〔2023〕10），立即对全县统计造假屡禁难绝专项治理工作进行了安排部署，明确了全县统计造假屡禁难绝专项治理工作总体要求、开展治理的内容、方式方法、时间安排、任务分工、工作要求等。工作中我们加强组织领导，狠抓任务落实，督促指导专项治理工作，确保统计造假屡禁难绝专项治理工作取得成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三、成功举办第十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届“中国统计开放日”，积极开展普法宣传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9月20日，县统计局在曲沃县中心广场举办以“经济大普查 数说新时代”为主题的第十四届“中国统计开放日”暨第五次全国经济普查宣传活动。在宣传现场，通过悬挂宣传横幅、设立统计法律咨询台、摆放宣传展板、发放宣传资料等方式，向市民群众讲解统计和经济普查相关知识，提高了统计和经济普查的知晓度、支持度和配合度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现场宣传活动结束后，局领导班子成员带领人员开展进企业、进机关、进住户“三进”活动，说普查、讲法律。本次活动打破了群众和统计之间的障碍，让人民群众真正地了解统计，纷纷表示将会积极配合和支持统计工作和经济普查工作，为以后统计工作的顺利展开奠定了基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四、开展数据质量核查和“双随机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一公开”执法检查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今年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，县统计局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抽取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家“四上”企业进行了数据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质量核查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针对存在问题的企业，要求及时整改，做到数出有据，确保统计数据质量。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部门，通过“双随机、一公开”平台，全县抽取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家“四上企业”进行随机检查，检查内容含调查对象的设置原始记录、统计台账和统计制度执行情况等，并及时将检查的结果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市场监管领域双随机一公开监管平台上进行公开。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五、202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年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推进法治政府建设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工作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的安排和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计划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（一）加强理论学习，强化执法规范以及监督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不断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强化统计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法治教育培训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和交流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，提高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全局统计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执法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的业务能力和执法办案水平。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（二）加强法治宣传，营造浓厚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法治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氛围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充分利用各种形式、各种渠道广泛宣传统计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法律法规，结合新闻媒体、网络微信平台，送法进乡镇、村街和企业，多渠道、多形式、多层次地开展统计法律法规知识的宣传和普及，面向全县认真开展法律法规咨询和解答工作，进一步提高全县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人民的统计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法律素质。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（三）加强队伍建设，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提高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行政执法水平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促使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全局干部职工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在工作实践中把统计执法工作和统计业务工作结合起来，提高综合协调能力和应变能力，以适应经济发展和社会进步对统计依法行政的要求。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)加强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执法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力度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，促进法治政府建设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依法统计与法治建设密不可分,统计报表数据真实有效离不开统计法治政府建设,我局坚决做到依法统计,进一步加大对网络平台报表的数据审查、监督力度,确保报表数据真实可靠,全面推进法治政府建设工作,为全方位推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经济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社会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高质量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发展，全力打造“活力之城、幸福之城、奋斗之城”贡献力量。　    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曲沃县统计局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日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 xml:space="preserve">                     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     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UxYWE5YzcyZDAyMmM5YjQzMTVkMTg2ZTFjODhiNjAifQ=="/>
  </w:docVars>
  <w:rsids>
    <w:rsidRoot w:val="009F3256"/>
    <w:rsid w:val="00096A3E"/>
    <w:rsid w:val="0012255E"/>
    <w:rsid w:val="00164232"/>
    <w:rsid w:val="001E3DAE"/>
    <w:rsid w:val="001F159B"/>
    <w:rsid w:val="0027067D"/>
    <w:rsid w:val="00355DCD"/>
    <w:rsid w:val="0039785F"/>
    <w:rsid w:val="003F2868"/>
    <w:rsid w:val="003F30CC"/>
    <w:rsid w:val="003F5588"/>
    <w:rsid w:val="0044697A"/>
    <w:rsid w:val="004565C1"/>
    <w:rsid w:val="00456FF6"/>
    <w:rsid w:val="004C1348"/>
    <w:rsid w:val="005024CF"/>
    <w:rsid w:val="005E2B30"/>
    <w:rsid w:val="005F6477"/>
    <w:rsid w:val="00616B33"/>
    <w:rsid w:val="006B720D"/>
    <w:rsid w:val="0078432E"/>
    <w:rsid w:val="007C181B"/>
    <w:rsid w:val="00802E14"/>
    <w:rsid w:val="008767A9"/>
    <w:rsid w:val="00930BC8"/>
    <w:rsid w:val="0099521F"/>
    <w:rsid w:val="009F3256"/>
    <w:rsid w:val="00AA201D"/>
    <w:rsid w:val="00C662EC"/>
    <w:rsid w:val="00CA5F43"/>
    <w:rsid w:val="00CB30CB"/>
    <w:rsid w:val="00D50B32"/>
    <w:rsid w:val="00D80468"/>
    <w:rsid w:val="00F16FF8"/>
    <w:rsid w:val="00F96225"/>
    <w:rsid w:val="00FB6ABD"/>
    <w:rsid w:val="07342561"/>
    <w:rsid w:val="073D7EEC"/>
    <w:rsid w:val="07CF4038"/>
    <w:rsid w:val="08BD0334"/>
    <w:rsid w:val="0AEB0CF3"/>
    <w:rsid w:val="1D1413BF"/>
    <w:rsid w:val="1FCC33D0"/>
    <w:rsid w:val="23240602"/>
    <w:rsid w:val="246B4C91"/>
    <w:rsid w:val="299F1E59"/>
    <w:rsid w:val="33CB48B5"/>
    <w:rsid w:val="3826080A"/>
    <w:rsid w:val="470E0142"/>
    <w:rsid w:val="48360F8E"/>
    <w:rsid w:val="49F06C96"/>
    <w:rsid w:val="53DE0FCC"/>
    <w:rsid w:val="621535C9"/>
    <w:rsid w:val="64E86E86"/>
    <w:rsid w:val="71AB5C99"/>
    <w:rsid w:val="76BE3F90"/>
    <w:rsid w:val="780F50C8"/>
    <w:rsid w:val="FA7F8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1842</Words>
  <Characters>1885</Characters>
  <Lines>14</Lines>
  <Paragraphs>3</Paragraphs>
  <TotalTime>13</TotalTime>
  <ScaleCrop>false</ScaleCrop>
  <LinksUpToDate>false</LinksUpToDate>
  <CharactersWithSpaces>1934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2022-02-17T15:09:00Z</dcterms:created>
  <dc:creator>Administrator.Win7-2019CKNRPR</dc:creator>
  <cp:lastModifiedBy>baixin</cp:lastModifiedBy>
  <cp:lastPrinted>2023-12-06T11:54:00Z</cp:lastPrinted>
  <dcterms:modified xsi:type="dcterms:W3CDTF">2024-03-08T09:10:01Z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C3110A8027704357B30AE0C17D897289</vt:lpwstr>
  </property>
</Properties>
</file>