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曲自然资〔2023〕98号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曲沃县自然资源局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2023年法治政府建设年度报告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</w:rPr>
        <w:t>年，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曲沃县自然资源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</w:rPr>
        <w:t>局法治政府建设工作在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</w:rPr>
        <w:t>委、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</w:rPr>
        <w:t>政府的正确领导下，在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县委依法治县委员会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</w:rPr>
        <w:t>的具体指导下，坚持以习近平新时代中国特色社会主义思想为指导，深入贯彻落实全面依法治国、加快法治政府建设重要论述和总体部署，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紧紧</w:t>
      </w:r>
      <w:r>
        <w:rPr>
          <w:rFonts w:hint="eastAsia" w:ascii="仿宋" w:hAnsi="仿宋" w:eastAsia="仿宋" w:cs="仿宋"/>
          <w:sz w:val="32"/>
          <w:szCs w:val="32"/>
        </w:rPr>
        <w:t>围绕《曲沃县贯彻落实〈法治政府建设实施纲要（2021—2025年）〉的实施方案》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，紧密结合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自然资源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</w:rPr>
        <w:t>行政执法工作，积极推进依法行政，切实规范行政执法行为，全面做好法治政府建设各项工作。按照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县委依法治县委员会办公室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</w:rPr>
        <w:t>关于报送法治政府建设年度报告的通知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要求，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</w:rPr>
        <w:t>现将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我局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</w:rPr>
        <w:t>法治政府建设工作开展情况汇报如下： 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推进法治政府建设的主要举措和成效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（一）强化机制保障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leftChars="304" w:right="0" w:rightChars="0" w:firstLine="0" w:firstLine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强化组织领导，为法治政府建设工作提供组织保障。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局党组高度重视法治建设工作，根据自然资源领域工作实际，把依法行政工作纳入全年的重要工作目标。明确一名局班子成员分管法治工作，其他班子成员和股室负责人对分管和负责股室推进法治工作负责，形成逐级抓落实的法治建设工作体系，实现责任到人，保证法治政府建设各项工作落到实处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leftChars="304" w:right="0" w:rightChars="0" w:firstLine="0" w:firstLine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提高队伍素质，为法治政府建设工作提供人才保障。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努力提高干部队伍的依法行政水平，采用集中学习与自主学习相结合，2023年截至目前共组织行政执法人员参加“行政执法大讲堂”线上培训11期、参加了“学习贯彻习近平法治思想暨强化行政执法能力建设专题培训班”12讲专题课程的线上学习。组织领导干部参加全县依法行政专题培训，业务骨干参加省、市各类培训，行政执法人员每周例会进行法律法规学习。通过多渠道多层面学法，进一步强化了领导干部和广大干部职工的依法行政观念，提高了法治政府建设的意识和能力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val="en-US" w:eastAsia="zh-CN"/>
        </w:rPr>
        <w:t>3.落实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保障机制，为法治政府建设工作提供制度保障。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我局不断完善各项制度，着力创新工作机制，贯彻落实法治政府建设工作的各项相关制度，严格依法行政，推进法治政府建设工作的全面开展。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val="en-US" w:eastAsia="zh-CN"/>
        </w:rPr>
        <w:t>（二）落实工作举措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40" w:leftChars="0" w:right="0" w:right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val="en-US" w:eastAsia="zh-CN"/>
        </w:rPr>
        <w:t>1.严格规范公正文明执法。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认真执行行政执法相关制度。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一是规范执法证件管理制度，确保执法人员亮证执法。加强对行政执法人员的持证情况的管理，做好行政执法证件的申领、注销和更换工作，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val="en-US" w:eastAsia="zh-CN"/>
        </w:rPr>
        <w:t>2023年新申领行政执法证件1个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。二是贯彻落实行政执法“三项制度”，严格执行行政执法公示制度，执法全过程记录制度，执行重大执法决定法制审核制度。对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val="en-US" w:eastAsia="zh-CN"/>
        </w:rPr>
        <w:t>9件行政处罚案件全部进行了公开，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明确法制审核机构1个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val="en-US" w:eastAsia="zh-CN"/>
        </w:rPr>
        <w:t>,对重大执法决定提出法制审核意见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严格开展行政执法行动。今年开展了耕地保护月度监测调度、耕地保护整治提升、农地“非农化”问题排查整治、卫片执法、国家自然资源例行督察、耕地保护政治监督检查、自建房整治以及打击非法违法采矿等执法专项活动，我局共出动执法人员4300余人次，车辆1100余台次，无人机巡查32次，夜查突查21次，开展县域交叉检查联合检查6次，联合应急管理、公安、乡镇等开展检查18次；在土地执法方面，制止各类违法行为20余处，涉及土地面积120亩，拆除整改违法建筑9处，面积约950平方米。打击私挖盗采方面，对全县南、北两山关闭废弃洞口进行加固封堵，断路20余处，重新设立警示标识70余处。立案查处自然资源违法案件9起，各类土地矿产违法行为得到了较好的遏制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2.全面清理规范性文件。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今年对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val="en-US" w:eastAsia="zh-CN"/>
        </w:rPr>
        <w:t>2020年以来的行政规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val="en-US" w:eastAsia="zh-CN"/>
        </w:rPr>
        <w:t>范性文件进行了集中清理，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经梳理汇总，2020年以来，以县政府及县政府办公室名义起草的规范性文件共计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件，其中拟重新公布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件，继续保留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件。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完善重大行政决策法定程序。贯彻落实《重大行政决策程序暂行条例》，推进行政决策法治化。建立并落实局机关内部重大决策合法性审查机制，未经合法性审查的不得提交讨论，切实把公众参与、专家论证、风险评估、合法性审查、集体讨论决定作为重大行政决策法定程序，将决策行为置于法制框架内。建立健全行政决策监督和责任追究制度，坚决制止和纠正超越法定权限、违反法定程序的决策行为。落实集体会审制度，对执法案件、行政许可、行政决策等重要事项进行会审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val="en-US" w:eastAsia="zh-CN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推行政务公开，保证行政权力高效透明运行。认真落实信息公开制度，紧密结合为民服务，阳光行动的开展，坚持以公开为常态、不公开为例外的原则，扩大公开范围，依法推进决策公开、执行公开、管理公开、服务公开、结果公开。办事指南全部在业务窗口进行公开，权责清单和行政执法事项清单在政府网站上公布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200" w:right="0" w:rightChars="0" w:firstLine="320" w:firstLineChars="1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val="en-US" w:eastAsia="zh-CN"/>
        </w:rPr>
        <w:t>5.积极发挥法律顾问作用。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年就产权登记、行政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处罚、信息公开等问题上主动征求法律顾问意见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余次。完善合同审查机制，在合同审查工作，法律顾问出具审查意见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val="en-US" w:eastAsia="zh-CN"/>
        </w:rPr>
        <w:t>40余次。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val="en-US" w:eastAsia="zh-CN"/>
        </w:rPr>
        <w:t>6.认真做好行政应诉工作。2023年截至目前，共接到行政应诉案件8件，其中1件对方申请撤诉，其余7件行政机关负责人全部出庭应诉制度，应诉案件已全部结案。通过行政诉讼活动，健全发现问题的良性机制，推动严格规范公正文明执法，切实提高依法行政的能力和水平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val="en-US" w:eastAsia="zh-CN"/>
        </w:rPr>
        <w:t>7.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加大法治宣传力度，落实普法责任。利用“4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22”世界地球日、“6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25”全国土地日、“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”测绘日、</w:t>
      </w:r>
      <w:bookmarkStart w:id="0" w:name="_GoBack"/>
      <w:bookmarkEnd w:id="0"/>
      <w:r>
        <w:rPr>
          <w:rFonts w:hint="eastAsia" w:ascii="仿宋" w:hAnsi="仿宋" w:eastAsia="楷体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“12·4”国家宪法日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等重要宣传日进行宣传，主要宣传《宪法》《土地管理法》《矿产资源法》《城乡规划法》《测绘法》《土地管理法实施条例》《地质灾害防治条例》等法律法规知识，积极营造法治政府建设的良好氛围。20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年以来，共发放各类宣传资料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000余份，悬挂横幅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0余幅。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二、推进法治政府建设的存在的不足及原因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年，我局在依法行政、文明执法方面虽然取得一定成绩，但也存在不足。一是学法、普法创新方式不足。学习法律相关知识主要通过文件、“行政执法大讲堂”、网络等方式，学习的针对性不强，成效不够明显；普法主要是发放宣传单、悬挂横幅等方式，缺乏创新性，宣传效果有待提升；二是执法人员法律素质不强。个别执法人员法律素养和法律知识储备不足，在执法过程中法律政策解释不到位，执法水平不高；三是缺乏法律专业人才，依法行政工作缺乏有力法律支撑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48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val="en-US" w:eastAsia="zh-CN"/>
        </w:rPr>
        <w:t xml:space="preserve"> 三、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党政主要负责人履行推进法治建设第一责任人职责，落实年度责任清单，加强法治政府建设的有关情况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（一）强化组织领导，落实主体责任。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切实履行法治建设第一责任人职责，坚决贯彻落实县委县政府关于法治政府建设的重要决策部署，自觉运用法治思维、法治方式积极谋划工作。成立了由主要负责人任组长，分管负责同志任副组长，相关股室负责人为成员的法治建设工作领导小组，明确具体工作人员负责法治工作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（二）强化权力制约，坚持依法行政。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执行“三重一大”制度，涉及重大决策、重要干部任免、重大项目安排和大额资金使用，由局班子会集体决策。始终坚持重大问题亲自过问、重大任务亲自督导、重点环节亲自协调，切实做到法治工作同业务工作同部署、同安排、同推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EFEFE"/>
          <w:lang w:val="en-US" w:eastAsia="zh-CN" w:bidi="ar"/>
        </w:rPr>
        <w:t>（三）强化理论学习，筑牢法治理念。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EFEFE"/>
          <w:lang w:val="en-US" w:eastAsia="zh-CN" w:bidi="ar"/>
        </w:rPr>
        <w:t>通过党组理论中心学习、例会集中学习、专题学习，带头深入学习党的二十大报告中关于法治建设的重大部署，学习习近平法治思想，学习《中华人民共和国土地管理法》《中华人民共和国矿产资源法》《中华人民共和国城乡规划法》等与部门工作密切相关的法律法规，再次学习了《党政主要负责人履行推进法治建设第一责任人职责规定》《法治政府建设与责任落实督察工作规定》，及时学习了新修订的《中华人民共和国行政复议法》，强化法治思维，增强依法行政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EFEF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EFEFE"/>
          <w:lang w:val="en-US" w:eastAsia="zh-CN" w:bidi="ar"/>
        </w:rPr>
        <w:t>四、履行法院生效裁判情况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支持法院受理的行政案件，尊重并执行法院生效判决。202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年我局共收到法院判决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val="en-US" w:eastAsia="zh-CN"/>
        </w:rPr>
        <w:t>7个，其中6个判决已全部履行，剩余1个目前正在履行当中。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下一年度推进法治政府建设的主要安排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（一）强化学习，牢固树立法治思维。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抓住领导干部这个“关键少数”，牢固树立法治思维，持续加大系统干部业务培训力度，通过举办培训班、邀请专家授课和参加干部职工学法用法网上考试等方式，强化对自然资源法律法规与业务知识的学习，以新的作风、新的担当、新的作为，推动各项政策法规和决策部署全面深入贯彻落实，切实管理好、保护好、利用好自然资源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（二）加大宣传，持续营造浓厚氛围。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有针对性地开展普法宣传，形成学法、守法、用法的良好氛围，从思想上达成依法利用和节约利用自然资源的共识。坚持执法办案和普法宣传相结合，将普法宣传教育渗透到执法办案的全过程，充分利用以案说法、以案普法、以案学法等方式普及法律常识，通过文明执法促进深度普法，通过广泛普法促进法治政府建设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（三）明确重点，不断提高执法水平。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继续推行行政执法“三项制度”，规范行政执法行为。开展土地矿产卫片执法，逐项逐宗整改查处到位，维护全县自然资源良好秩序。健全行政执法与刑事司法衔接机制，完善案件移送标准程序，加强与其他行政执法机关、公安机关、检察机关、审判机关的案情沟通，及时通报、按程序移送，解决好制止难、调查难、执行难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EFEF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EFEFE"/>
          <w:lang w:val="en-US" w:eastAsia="zh-CN" w:bidi="ar"/>
        </w:rPr>
        <w:t>六、对全县加强法治政府建设的意见、建议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EFEFE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EFEFE"/>
          <w:lang w:val="en-US" w:eastAsia="zh-CN" w:bidi="ar"/>
        </w:rPr>
        <w:t>（一）推动法治工作统筹联动。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EFEFE"/>
          <w:lang w:val="en-US" w:eastAsia="zh-CN" w:bidi="ar"/>
        </w:rPr>
        <w:t>进一步统筹执法司法部门力量，推动行政执法和刑事司法衔接机制的有效运行。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EFEFE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EFEFE"/>
          <w:lang w:val="en-US" w:eastAsia="zh-CN" w:bidi="ar"/>
        </w:rPr>
        <w:t>（二）强化法治建设力量保障。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EFEFE"/>
          <w:lang w:val="en-US" w:eastAsia="zh-CN" w:bidi="ar"/>
        </w:rPr>
        <w:t>加强法治队伍建设，人员编制向执法和承担法治建设职责的岗位倾斜；通过专题培训、工作交流等提升工作人员依法行政能力。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EFEF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EFEFE"/>
          <w:lang w:val="en-US" w:eastAsia="zh-CN" w:bidi="ar"/>
        </w:rPr>
        <w:t>其他需要报告的重要事项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EFEF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EFEFE"/>
          <w:lang w:val="en-US" w:eastAsia="zh-CN" w:bidi="ar"/>
        </w:rPr>
        <w:t>无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40" w:leftChars="0" w:right="0" w:right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EFEF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40" w:leftChars="0" w:right="0" w:right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EFEF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200" w:right="0" w:rightChars="0" w:firstLine="640" w:firstLineChars="20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EFEF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EFEFE"/>
          <w:lang w:val="en-US" w:eastAsia="zh-CN" w:bidi="ar"/>
        </w:rPr>
        <w:t xml:space="preserve">                   曲沃县自然资源局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200" w:right="0" w:rightChars="0"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EFEF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EFEFE"/>
          <w:lang w:val="en-US" w:eastAsia="zh-CN" w:bidi="ar"/>
        </w:rPr>
        <w:t xml:space="preserve">                   2023年12月12日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EFEF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EFEFE"/>
          <w:lang w:val="en-US" w:eastAsia="zh-CN" w:bidi="ar"/>
        </w:rPr>
        <w:t>（此件公开发布）</w:t>
      </w:r>
    </w:p>
    <w:p>
      <w:pPr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EFEFE"/>
          <w:lang w:val="en-US" w:eastAsia="zh-CN" w:bidi="ar"/>
        </w:rPr>
      </w:pPr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EFEFE"/>
          <w:lang w:val="en-US" w:eastAsia="zh-CN" w:bidi="ar"/>
        </w:rPr>
      </w:pPr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EFEFE"/>
          <w:lang w:val="en-US" w:eastAsia="zh-CN" w:bidi="ar"/>
        </w:rPr>
      </w:pPr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EFEFE"/>
          <w:lang w:val="en-US" w:eastAsia="zh-CN" w:bidi="ar"/>
        </w:rPr>
      </w:pPr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EFEFE"/>
          <w:lang w:val="en-US" w:eastAsia="zh-CN" w:bidi="ar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A340C"/>
    <w:multiLevelType w:val="singleLevel"/>
    <w:tmpl w:val="080A340C"/>
    <w:lvl w:ilvl="0" w:tentative="0">
      <w:start w:val="7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abstractNum w:abstractNumId="1">
    <w:nsid w:val="6BB9F5C1"/>
    <w:multiLevelType w:val="singleLevel"/>
    <w:tmpl w:val="6BB9F5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ZjQzYTRhODVhYjM2YWM4ZTgyODJjZTdhOTdmNDgifQ=="/>
  </w:docVars>
  <w:rsids>
    <w:rsidRoot w:val="545E1ADC"/>
    <w:rsid w:val="01804A4C"/>
    <w:rsid w:val="055F2BCB"/>
    <w:rsid w:val="07361A7A"/>
    <w:rsid w:val="09BE6112"/>
    <w:rsid w:val="0DD57ECE"/>
    <w:rsid w:val="0F865924"/>
    <w:rsid w:val="162E461F"/>
    <w:rsid w:val="16943F91"/>
    <w:rsid w:val="24F144EA"/>
    <w:rsid w:val="27AD2CF4"/>
    <w:rsid w:val="337F6062"/>
    <w:rsid w:val="36191A7C"/>
    <w:rsid w:val="36384519"/>
    <w:rsid w:val="3992465E"/>
    <w:rsid w:val="436C702D"/>
    <w:rsid w:val="53B04CAC"/>
    <w:rsid w:val="545E1ADC"/>
    <w:rsid w:val="57105AE7"/>
    <w:rsid w:val="631378D6"/>
    <w:rsid w:val="63B219B9"/>
    <w:rsid w:val="689E42BA"/>
    <w:rsid w:val="6D7221B9"/>
    <w:rsid w:val="6F8F7052"/>
    <w:rsid w:val="7375655F"/>
    <w:rsid w:val="771147F0"/>
    <w:rsid w:val="79B07903"/>
    <w:rsid w:val="7E2D7A6F"/>
    <w:rsid w:val="7FD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rPr>
      <w:rFonts w:ascii="仿宋" w:hAnsi="仿宋" w:eastAsia="仿宋" w:cs="仿宋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3620</Words>
  <Characters>3706</Characters>
  <Lines>0</Lines>
  <Paragraphs>0</Paragraphs>
  <TotalTime>67</TotalTime>
  <ScaleCrop>false</ScaleCrop>
  <LinksUpToDate>false</LinksUpToDate>
  <CharactersWithSpaces>3748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2023-12-07T15:57:00Z</dcterms:created>
  <dc:creator>鱼儿游</dc:creator>
  <cp:lastModifiedBy>baixin</cp:lastModifiedBy>
  <cp:lastPrinted>2023-12-13T18:38:00Z</cp:lastPrinted>
  <dcterms:modified xsi:type="dcterms:W3CDTF">2025-01-22T17:56:15Z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  <property fmtid="{D5CDD505-2E9C-101B-9397-08002B2CF9AE}" pid="3" name="ICV">
    <vt:lpwstr>6C48DD9E9E214CEBB9DAADBF17D21436_11</vt:lpwstr>
  </property>
</Properties>
</file>