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5E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乐昌镇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执法队</w:t>
      </w:r>
    </w:p>
    <w:p w14:paraId="244F6E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2025年度行政检查工作计划</w:t>
      </w:r>
    </w:p>
    <w:p w14:paraId="5983D6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5628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山西省行政执法条例》及《山西省严格规范涉企行政检查的若干举措》（晋政办发〔2025〕9号）相关要求，进一步规范行政执法行为，优化辖区营商环境，结合乐昌镇实际，制定2025年度行政检查工作计划如下：</w:t>
      </w:r>
    </w:p>
    <w:p w14:paraId="1DF047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</w:pPr>
      <w:r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  <w:t>一、总体要求</w:t>
      </w:r>
    </w:p>
    <w:p w14:paraId="4AC0DEB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（一）严格依法履职</w:t>
      </w:r>
    </w:p>
    <w:p w14:paraId="4638E9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依据法律法规明确检查权限和程序，确保检查行为合法合规。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一是权限清晰。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我镇将严格按照县政府执法清单下发事项及法定执法事项进行检查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形成清单并向社会公开，杜绝越权检查；定期组织执法人员学习权限范围，确保职责清晰。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二是程序规范。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制定统一的检查流程，要求执法人员入企检查前须经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镇行政执法办公室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审批，携带执法证件及文书，现场检查需记录完整并告知结果。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三是公开透明。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通过镇政务公开栏定期发布检查计划及结果，接受社会监督，对群众投诉举报及时处理并反馈。</w:t>
      </w:r>
    </w:p>
    <w:p w14:paraId="716FE57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优化检查安排</w:t>
      </w:r>
    </w:p>
    <w:p w14:paraId="480674F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科学统筹检查频次，避免对企业生产经营造成干扰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尽可能做到无事不扰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一是分类管理。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根据企业信用等级、行业风险程度划分检查类别，对信用良好、风险低的企业减少检查次数；对高风险企业适当增加抽查比例。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二是统筹计划。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年初制定全年检查台账，明确检查对象、时间及内容，避免临时性、重复性检查。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三是简化流程。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同一部门对同一企业的多事项检查合并开展，减少入企频次。</w:t>
      </w:r>
    </w:p>
    <w:p w14:paraId="1B82CB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（三）注重服务指导</w:t>
      </w:r>
    </w:p>
    <w:p w14:paraId="01EC15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坚持执法与教育相结合，强化对企业合规经营的引导。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一是柔性执法。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对首次轻微违法行为以教育整改为主，依法免予处罚；对需处罚的案件，严格按裁量基准执行，杜绝随意性。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二是加强宣传。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通过发放手册、组织培训等方式普及法律法规，帮助企业提升合规意识。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三是隐患预警。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对检查中发现的共性问题，及时向企业发布风险提示，指导自查自纠。</w:t>
      </w:r>
    </w:p>
    <w:p w14:paraId="7108720D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强化能力建设</w:t>
      </w:r>
    </w:p>
    <w:p w14:paraId="7FAAE0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提升执法人员专业素质，保障执法质量。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一是定期培训。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每季度组织执法人员学习新修订法律法规及执法实务，重点强化程序意识和文书制作能力。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二是考核评价。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将检查规范性、投诉处理效率等纳入个人考核，对违规行为通报批评并限期整改。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三是技术应用。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推广使用执法记录仪，确保检查全程留痕；利用信息化系统简化台账管理。</w:t>
      </w:r>
    </w:p>
    <w:p w14:paraId="470624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</w:pPr>
      <w:r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  <w:t>二、重点工作</w:t>
      </w:r>
    </w:p>
    <w:p w14:paraId="0FC555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（一）明确执法主体资格</w:t>
      </w:r>
    </w:p>
    <w:p w14:paraId="719BB6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严格按照文件要求，清理不具备法定资格的检查主体，严禁非行政执法人员参与检查。执法部门需在4月底前完成人员资质核查，确保全员持证上岗，并在检查中主动出示证件。</w:t>
      </w:r>
    </w:p>
    <w:p w14:paraId="44662D32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建立检查计划台账</w:t>
      </w:r>
    </w:p>
    <w:p w14:paraId="52380E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各执法部门制定年度检查计划，明确检查对象、内容及时间节点，审核后统一备案。对投诉集中、存在不良记录的企业，适当提高检查频次，确保问题早发现、早处置。</w:t>
      </w:r>
    </w:p>
    <w:p w14:paraId="4838B388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规范现场检查流程</w:t>
      </w:r>
    </w:p>
    <w:p w14:paraId="3102C2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严格执行“审批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反馈”流程。检查前需填写审批表并经部门负责人签字；检查中全程使用规范文书，不得要求企业提供与检查无关的材料；检查后5个工作日内向企业书面反馈结果，并存档备查。</w:t>
      </w:r>
    </w:p>
    <w:p w14:paraId="22E7AF1C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落实执法公开制度</w:t>
      </w:r>
    </w:p>
    <w:p w14:paraId="28140ED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每季度末通过镇政府网站公示检查情况，包括检查对象、发现问题及处理结果。重大行政处罚决定需经镇法制办审核后执行，确保程序合法、裁量适当。</w:t>
      </w:r>
    </w:p>
    <w:p w14:paraId="271941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</w:pPr>
      <w:r>
        <w:rPr>
          <w:rFonts w:hint="eastAsia" w:ascii="国标黑体-GB/T 2312" w:hAnsi="国标黑体-GB/T 2312" w:eastAsia="国标黑体-GB/T 2312" w:cs="国标黑体-GB/T 2312"/>
          <w:b w:val="0"/>
          <w:bCs/>
          <w:sz w:val="32"/>
          <w:szCs w:val="32"/>
        </w:rPr>
        <w:t>三、保障机制</w:t>
      </w:r>
    </w:p>
    <w:p w14:paraId="490FFE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（一）加强组织领导</w:t>
      </w:r>
    </w:p>
    <w:p w14:paraId="7D8A68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成立由镇长任组长、分管副镇长任副组长的行政检查工作领导小组，统筹协调全镇检查工作。领导小组每季度召开例会，听取各部门汇报并督促任务落实。</w:t>
      </w:r>
    </w:p>
    <w:p w14:paraId="457723A6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严格内部监督</w:t>
      </w:r>
    </w:p>
    <w:p w14:paraId="3E93B45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镇纪委牵头对检查行为开展不定期抽查，重点核查程序合规性、文书规范性及廉洁纪律执行情况。对违规检查、随意增加企业负担的部门或个人，依规追责。</w:t>
      </w:r>
    </w:p>
    <w:p w14:paraId="5773DBF4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注重宣传反馈</w:t>
      </w:r>
    </w:p>
    <w:p w14:paraId="2AF917B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通过镇广播站、企业联络群等渠道宣传检查政策，争取企业理解支持。每半年组织企业代表座谈，收集意见建议并及时改进工作方法。</w:t>
      </w:r>
    </w:p>
    <w:p w14:paraId="1432F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乐昌镇将严格按照本计划推进2025年度行政检查工作，着力解决检查随意性、重复性等问题，切实减轻企业负担，营造公平有序的营商环境，为全镇经济发展提供法治保障。</w:t>
      </w:r>
    </w:p>
    <w:p w14:paraId="24864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16E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25B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乐昌镇人民政府</w:t>
      </w:r>
    </w:p>
    <w:p w14:paraId="0D354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AC148"/>
    <w:multiLevelType w:val="singleLevel"/>
    <w:tmpl w:val="B63AC1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C11C2B"/>
    <w:multiLevelType w:val="singleLevel"/>
    <w:tmpl w:val="CFC11C2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3D9A674"/>
    <w:multiLevelType w:val="singleLevel"/>
    <w:tmpl w:val="E3D9A6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6A1C99"/>
    <w:multiLevelType w:val="singleLevel"/>
    <w:tmpl w:val="546A1C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574D6"/>
    <w:rsid w:val="45083794"/>
    <w:rsid w:val="DE3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1500</Characters>
  <Lines>0</Lines>
  <Paragraphs>0</Paragraphs>
  <TotalTime>2</TotalTime>
  <ScaleCrop>false</ScaleCrop>
  <LinksUpToDate>false</LinksUpToDate>
  <CharactersWithSpaces>1500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2025-04-16T17:13:00Z</dcterms:created>
  <dc:creator>Administrator</dc:creator>
  <cp:lastModifiedBy>kylin</cp:lastModifiedBy>
  <dcterms:modified xsi:type="dcterms:W3CDTF">2025-09-09T09:40:37Z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eyJoZGlkIjoiODYyNDJiOGM3N2UwOGEyZjQwNTdhM2FkMzc4NzBlMDYifQ==</vt:lpwstr>
  </property>
  <property fmtid="{D5CDD505-2E9C-101B-9397-08002B2CF9AE}" pid="4" name="ICV">
    <vt:lpwstr>FCE9CEE6C08A4EDA85D09BFB07FBC56D_12</vt:lpwstr>
  </property>
</Properties>
</file>